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right" w:pos="10080"/>
        </w:tabs>
        <w:contextualSpacing w:val="0"/>
        <w:rPr>
          <w:rFonts w:ascii="Calibri" w:cs="Calibri" w:eastAsia="Calibri" w:hAnsi="Calibri"/>
          <w:smallCaps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Biology Exploration Guide</w:t>
      </w:r>
      <w:r w:rsidDel="00000000" w:rsidR="00000000" w:rsidRPr="00000000">
        <w:rPr>
          <w:rFonts w:ascii="Calibri" w:cs="Calibri" w:eastAsia="Calibri" w:hAnsi="Calibri"/>
          <w:smallCaps w:val="1"/>
          <w:sz w:val="32"/>
          <w:szCs w:val="32"/>
          <w:rtl w:val="0"/>
        </w:rPr>
        <w:t xml:space="preserve">:  Cell Communication #4</w:t>
      </w:r>
    </w:p>
    <w:p w:rsidR="00000000" w:rsidDel="00000000" w:rsidP="00000000" w:rsidRDefault="00000000" w:rsidRPr="00000000">
      <w:pPr>
        <w:tabs>
          <w:tab w:val="right" w:pos="10080"/>
        </w:tabs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mallCaps w:val="1"/>
          <w:sz w:val="32"/>
          <w:szCs w:val="32"/>
          <w:rtl w:val="0"/>
        </w:rPr>
        <w:tab/>
        <w:t xml:space="preserve">Plant Responses to Internal and External Signals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 Bold" w:cs="Arial Bold" w:eastAsia="Arial Bold" w:hAnsi="Arial Bold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0"/>
          <w:szCs w:val="20"/>
          <w:rtl w:val="0"/>
        </w:rPr>
        <w:t xml:space="preserve">Key Concepts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Plant hormones help coordinate growth, development, and responses to stimuli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Responses to light are critical for plant success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Plants respond to a wide variety of stimuli other than light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Plants respond to attacks by herbivores and pathogens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3780155</wp:posOffset>
            </wp:positionH>
            <wp:positionV relativeFrom="paragraph">
              <wp:posOffset>-3174</wp:posOffset>
            </wp:positionV>
            <wp:extent cx="2691130" cy="1518285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518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0"/>
          <w:szCs w:val="20"/>
          <w:rtl w:val="0"/>
        </w:rPr>
        <w:t xml:space="preserve">Read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Chapter 39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 Bold" w:cs="Arial Bold" w:eastAsia="Arial Bold" w:hAnsi="Arial Bold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0"/>
          <w:szCs w:val="20"/>
          <w:rtl w:val="0"/>
        </w:rPr>
        <w:t xml:space="preserve">Campbell Biology Online Tasks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MB 43,39 </w:t>
      </w:r>
    </w:p>
    <w:p w:rsidR="00000000" w:rsidDel="00000000" w:rsidP="00000000" w:rsidRDefault="00000000" w:rsidRPr="00000000">
      <w:pPr>
        <w:contextualSpacing w:val="0"/>
        <w:rPr>
          <w:rFonts w:ascii="Arial Bold" w:cs="Arial Bold" w:eastAsia="Arial Bold" w:hAnsi="Arial Bold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old" w:cs="Arial Bold" w:eastAsia="Arial Bold" w:hAnsi="Arial Bold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0"/>
          <w:szCs w:val="20"/>
          <w:rtl w:val="0"/>
        </w:rPr>
        <w:t xml:space="preserve">Key Terms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Here is a list of key terms and concepts you will hear about and see during the chapter readings. Get to know them!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47"/>
        <w:gridCol w:w="2547"/>
        <w:gridCol w:w="2547"/>
        <w:gridCol w:w="2547"/>
        <w:tblGridChange w:id="0">
          <w:tblGrid>
            <w:gridCol w:w="2547"/>
            <w:gridCol w:w="2547"/>
            <w:gridCol w:w="2547"/>
            <w:gridCol w:w="2547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Etiolation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Cytokinins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Leaf abscission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Long-day plant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De-etiolation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Gibberellins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Phytochromes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Day-neutral plant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Tropism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Ascisic acid (ABA)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Photoreceptors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Gravitropism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Phototropism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Ethylene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Photoperiodism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Thigmotropism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Auxins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Senescence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Short-day plant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Hypersensitive response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right" w:pos="1998"/>
              </w:tabs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Systemic acquired resistance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Bold" w:cs="Arial Bold" w:eastAsia="Arial Bold" w:hAnsi="Arial Bold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old" w:cs="Arial Bold" w:eastAsia="Arial Bold" w:hAnsi="Arial Bold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0"/>
          <w:szCs w:val="20"/>
          <w:rtl w:val="0"/>
        </w:rPr>
        <w:t xml:space="preserve">Questions for Your BILL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 a graphic organizer to describe the roles each of the following hormones plays in plants: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auxins, gibberellins, cytokinins, ethylene,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abscisic acid (ABA).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 a diagram that explains how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photoperiodism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determines when flowering occurs.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tropism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Discuss the survival benefits of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phototropism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gravitropism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thigmotropism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Make a series of drawings to discuss several defense mechanisms developed by plants to protect themselves from herbivores and pathogens.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0"/>
          <w:szCs w:val="20"/>
          <w:rtl w:val="0"/>
        </w:rPr>
        <w:t xml:space="preserve">Supplementary Resources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Click the links below for more information to help you learn more about this lesson.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2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 Freeman Animation: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Tropisms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2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 Freeman Animation: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Photoperiodism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2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McGraw Hill Animation: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Phytochrome Signaling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/>
      <w:pgMar w:bottom="720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  <w:font w:name="Cambria"/>
  <w:font w:name="Courier New"/>
  <w:font w:name="Arial Bold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760"/>
        <w:tab w:val="right" w:pos="1008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-126999</wp:posOffset>
              </wp:positionH>
              <wp:positionV relativeFrom="paragraph">
                <wp:posOffset>0</wp:posOffset>
              </wp:positionV>
              <wp:extent cx="528955" cy="44386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6285" y="3562830"/>
                        <a:ext cx="51943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-126999</wp:posOffset>
              </wp:positionH>
              <wp:positionV relativeFrom="paragraph">
                <wp:posOffset>0</wp:posOffset>
              </wp:positionV>
              <wp:extent cx="528955" cy="44386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955" cy="443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760"/>
        <w:tab w:val="right" w:pos="1008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760"/>
        <w:tab w:val="right" w:pos="1008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Saints AP Biology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 by Mark Eberhard</w:t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-159384</wp:posOffset>
          </wp:positionH>
          <wp:positionV relativeFrom="paragraph">
            <wp:posOffset>5080</wp:posOffset>
          </wp:positionV>
          <wp:extent cx="519430" cy="434340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430" cy="434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760"/>
        <w:tab w:val="right" w:pos="1008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Adapted from work by Lee Ferguson &amp; David Knuffke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36609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://glencoe.mcgraw-hill.com/sites/9834092339/student_view0/chapter41/animation_-_phytochrome_signaling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://bcs.whfreeman.com/thelifewire/content/chp38/3802001.html" TargetMode="External"/><Relationship Id="rId8" Type="http://schemas.openxmlformats.org/officeDocument/2006/relationships/hyperlink" Target="http://bcs.whfreeman.com/thelifewire/content/chp39/3902002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